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5553" w:rsidP="0054555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545553" w:rsidP="00545553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545553" w:rsidP="00545553">
      <w:pPr>
        <w:jc w:val="center"/>
        <w:rPr>
          <w:sz w:val="26"/>
          <w:szCs w:val="26"/>
        </w:rPr>
      </w:pPr>
    </w:p>
    <w:p w:rsidR="00545553" w:rsidP="0054555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15 мая 2026 года </w:t>
      </w:r>
    </w:p>
    <w:p w:rsidR="00545553" w:rsidP="00545553">
      <w:pPr>
        <w:jc w:val="both"/>
        <w:rPr>
          <w:sz w:val="26"/>
          <w:szCs w:val="26"/>
        </w:rPr>
      </w:pPr>
    </w:p>
    <w:p w:rsidR="00545553" w:rsidP="00545553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545553" w:rsidP="0054555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5-383-2802/2026,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</w:t>
      </w:r>
      <w:r>
        <w:rPr>
          <w:sz w:val="26"/>
          <w:szCs w:val="26"/>
        </w:rPr>
        <w:t xml:space="preserve">генерального директора ООО Котлы Алекс Тихонова </w:t>
      </w:r>
      <w:r w:rsidR="008A5448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545553" w:rsidP="00545553">
      <w:pPr>
        <w:pStyle w:val="BodyTextIndent2"/>
        <w:rPr>
          <w:sz w:val="26"/>
          <w:szCs w:val="26"/>
        </w:rPr>
      </w:pPr>
    </w:p>
    <w:p w:rsidR="00545553" w:rsidP="0054555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545553" w:rsidP="00545553">
      <w:pPr>
        <w:jc w:val="center"/>
        <w:rPr>
          <w:sz w:val="26"/>
          <w:szCs w:val="26"/>
        </w:rPr>
      </w:pPr>
    </w:p>
    <w:p w:rsidR="00545553" w:rsidP="0054555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Тихонов А.Б., являясь генеральным директором ООО Котлы Алекс и исполняя свои обязанности по адресу: </w:t>
      </w:r>
      <w:r w:rsidR="008A5448">
        <w:rPr>
          <w:b/>
          <w:sz w:val="26"/>
          <w:szCs w:val="26"/>
        </w:rPr>
        <w:t>**</w:t>
      </w:r>
      <w:r w:rsidR="008A5448">
        <w:rPr>
          <w:b/>
          <w:sz w:val="26"/>
          <w:szCs w:val="26"/>
        </w:rPr>
        <w:t xml:space="preserve">* 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нарушение п.3 ст.11 Федерального закона от 01.04.1996 № 27-ФЗ не представил в ОСФР по Ханты-Мансийскому автономному округу - Югре в установленные сроки отчет по форме ЕФС-1, раздел 1 подраздел 1.2 за 2025 год и совершил своими действиями в 00 часов 01 минуту 27.01.2026 правонарушение, предусмотренное ч.1 ст.15.33.2 КоАП РФ. </w:t>
      </w:r>
    </w:p>
    <w:p w:rsidR="00545553" w:rsidP="00545553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Тихонов А.Б. </w:t>
      </w:r>
      <w:r>
        <w:rPr>
          <w:color w:val="000000" w:themeColor="text1"/>
          <w:sz w:val="26"/>
          <w:szCs w:val="26"/>
        </w:rPr>
        <w:t>не явился, о месте и времени рассмотрения дел был надлежаще уведомлен, ходатайство об отложении рассмотрении дела не поступило. Уважительная причина неявки судом не установлена.</w:t>
      </w:r>
    </w:p>
    <w:p w:rsidR="00545553" w:rsidP="0054555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545553" w:rsidP="0054555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545553" w:rsidP="0054555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545553" w:rsidP="0054555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п.3 ст. 11 N27-ФЗ от 01.04.2016 г. «Об индивидуальном (персонифицированном) учете в системе обязательного пенсионного страхования», форма ЕФС-1 раздел 1, подраздел 1,2 в отношении застрахованных лиц предоставляется страхователем по окончании календарного года, не позднее 25 числа месяца, следующего за отчетным периодом. </w:t>
      </w:r>
    </w:p>
    <w:p w:rsidR="00545553" w:rsidP="00545553">
      <w:pPr>
        <w:pStyle w:val="BodyTextIndent"/>
        <w:ind w:firstLine="708"/>
        <w:rPr>
          <w:sz w:val="26"/>
          <w:szCs w:val="26"/>
        </w:rPr>
      </w:pPr>
      <w:r>
        <w:rPr>
          <w:bCs/>
          <w:sz w:val="26"/>
          <w:szCs w:val="26"/>
        </w:rPr>
        <w:t>В нарушение вышеуказанных норм, в установленные законом сроки не предоставил отчет по форме ЕФС-1, раздел 1.2 за 2025 года.  Данный отчет был представлен страхователем по телекоммуникационным каналам связи 15.02.2026.</w:t>
      </w:r>
    </w:p>
    <w:p w:rsidR="00545553" w:rsidP="005455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45553" w:rsidP="005455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545553" w:rsidP="0054555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Тихонова А.Б. в совершении вышеуказанных действий подтверждается исследованными судом: </w:t>
      </w:r>
    </w:p>
    <w:p w:rsidR="00545553" w:rsidP="0054555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545553" w:rsidP="0054555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-актом</w:t>
      </w:r>
    </w:p>
    <w:p w:rsidR="00545553" w:rsidP="0054555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-отчетностью со скриншотом программного обеспечения;</w:t>
      </w:r>
    </w:p>
    <w:p w:rsidR="00545553" w:rsidP="0054555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545553" w:rsidP="0054555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545553" w:rsidP="00545553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545553" w:rsidP="00545553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545553" w:rsidP="0054555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545553" w:rsidP="00545553">
      <w:pPr>
        <w:jc w:val="both"/>
        <w:rPr>
          <w:snapToGrid w:val="0"/>
          <w:color w:val="000000"/>
          <w:sz w:val="26"/>
          <w:szCs w:val="26"/>
        </w:rPr>
      </w:pPr>
    </w:p>
    <w:p w:rsidR="00545553" w:rsidP="00545553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545553" w:rsidP="00545553">
      <w:pPr>
        <w:jc w:val="center"/>
        <w:rPr>
          <w:snapToGrid w:val="0"/>
          <w:color w:val="000000"/>
          <w:sz w:val="26"/>
          <w:szCs w:val="26"/>
        </w:rPr>
      </w:pPr>
    </w:p>
    <w:p w:rsidR="00545553" w:rsidP="00545553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генерального директора ООО Котлы Алекс Тихонова </w:t>
      </w:r>
      <w:r w:rsidR="008A5448">
        <w:rPr>
          <w:b/>
          <w:szCs w:val="26"/>
        </w:rPr>
        <w:t xml:space="preserve">*** </w:t>
      </w:r>
      <w:r>
        <w:rPr>
          <w:szCs w:val="26"/>
        </w:rPr>
        <w:t xml:space="preserve">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545553" w:rsidP="00545553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545553" w:rsidP="00545553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545553" w:rsidP="00545553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суток со дня получения копии постановления.</w:t>
      </w:r>
    </w:p>
    <w:p w:rsidR="00545553" w:rsidP="0054555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545553" w:rsidP="005455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545553" w:rsidP="005455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545553" w:rsidP="005455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545553" w:rsidP="005455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545553" w:rsidP="005455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545553" w:rsidP="005455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545553" w:rsidP="005455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545553" w:rsidP="005455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545553" w:rsidP="005455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545553" w:rsidP="005455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79702700000000140399</w:t>
      </w:r>
    </w:p>
    <w:p w:rsidR="00545553" w:rsidP="005455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545553" w:rsidP="0054555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545553" w:rsidP="00545553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545553" w:rsidP="00545553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545553" w:rsidP="00545553">
      <w:pPr>
        <w:rPr>
          <w:sz w:val="26"/>
          <w:szCs w:val="26"/>
        </w:rPr>
      </w:pPr>
    </w:p>
    <w:p w:rsidR="00545553" w:rsidP="00545553">
      <w:pPr>
        <w:rPr>
          <w:sz w:val="26"/>
          <w:szCs w:val="26"/>
        </w:rPr>
      </w:pPr>
    </w:p>
    <w:p w:rsidR="00545553" w:rsidP="00545553">
      <w:pPr>
        <w:rPr>
          <w:sz w:val="26"/>
          <w:szCs w:val="26"/>
        </w:rPr>
      </w:pPr>
    </w:p>
    <w:p w:rsidR="00545553" w:rsidP="00545553">
      <w:pPr>
        <w:rPr>
          <w:sz w:val="26"/>
          <w:szCs w:val="26"/>
        </w:rPr>
      </w:pPr>
    </w:p>
    <w:p w:rsidR="00545553" w:rsidP="00545553">
      <w:pPr>
        <w:rPr>
          <w:sz w:val="26"/>
          <w:szCs w:val="26"/>
        </w:rPr>
      </w:pPr>
    </w:p>
    <w:p w:rsidR="00545553" w:rsidP="00545553">
      <w:pPr>
        <w:rPr>
          <w:sz w:val="26"/>
          <w:szCs w:val="26"/>
        </w:rPr>
      </w:pPr>
    </w:p>
    <w:p w:rsidR="00545553" w:rsidP="00545553"/>
    <w:p w:rsidR="00EE648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D"/>
    <w:rsid w:val="00545553"/>
    <w:rsid w:val="008A5448"/>
    <w:rsid w:val="00D55C8D"/>
    <w:rsid w:val="00EE64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25B36F-1EF6-4388-B57A-254DE532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45553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545553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5455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545553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5455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54555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54555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545553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5455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54555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455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